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9E40" w14:textId="77777777" w:rsidR="0046331C" w:rsidRDefault="00EE7711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Modèle de convention type : Rémunération de la vaccination pour les Maisons de santé pluri-professionnelles et les Centres de santé </w:t>
      </w:r>
      <w:r w:rsidR="0088292B">
        <w:rPr>
          <w:rFonts w:ascii="Times New Roman" w:hAnsi="Times New Roman"/>
          <w:b/>
          <w:sz w:val="24"/>
          <w:szCs w:val="24"/>
        </w:rPr>
        <w:t xml:space="preserve">ayant opté pour un financement « à l’équipe » </w:t>
      </w:r>
      <w:r>
        <w:rPr>
          <w:rFonts w:ascii="Times New Roman" w:hAnsi="Times New Roman"/>
          <w:b/>
          <w:sz w:val="24"/>
          <w:szCs w:val="24"/>
        </w:rPr>
        <w:t xml:space="preserve">dans le cadre de la </w:t>
      </w:r>
      <w:r w:rsidRPr="00EE7711">
        <w:rPr>
          <w:rFonts w:ascii="Times New Roman" w:hAnsi="Times New Roman"/>
          <w:b/>
          <w:sz w:val="24"/>
          <w:szCs w:val="24"/>
        </w:rPr>
        <w:t>campagne vaccinale contre le SARS-CoV-2</w:t>
      </w:r>
    </w:p>
    <w:p w14:paraId="4C89B9B7" w14:textId="77777777" w:rsidR="0046331C" w:rsidRDefault="0046331C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A691B9" w14:textId="77777777" w:rsidR="0046331C" w:rsidRDefault="0046331C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Préambule </w:t>
      </w:r>
    </w:p>
    <w:p w14:paraId="433143CB" w14:textId="77777777" w:rsidR="0046331C" w:rsidRDefault="0046331C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29790" w14:textId="77777777" w:rsidR="0046331C" w:rsidRPr="00CF6EDC" w:rsidRDefault="0046331C" w:rsidP="00CF6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présent modèle de convention type s’inscrit dans le prolongement </w:t>
      </w:r>
      <w:r w:rsidR="006A58F7">
        <w:rPr>
          <w:rFonts w:ascii="Times New Roman" w:hAnsi="Times New Roman"/>
          <w:sz w:val="24"/>
          <w:szCs w:val="24"/>
        </w:rPr>
        <w:t xml:space="preserve">de la </w:t>
      </w:r>
      <w:r>
        <w:rPr>
          <w:rFonts w:ascii="Times New Roman" w:hAnsi="Times New Roman"/>
          <w:sz w:val="24"/>
          <w:szCs w:val="24"/>
        </w:rPr>
        <w:t xml:space="preserve">valorisation de </w:t>
      </w:r>
      <w:r w:rsidR="006A58F7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 xml:space="preserve">implication </w:t>
      </w:r>
      <w:r w:rsidR="006A58F7">
        <w:rPr>
          <w:rFonts w:ascii="Times New Roman" w:hAnsi="Times New Roman"/>
          <w:sz w:val="24"/>
          <w:szCs w:val="24"/>
        </w:rPr>
        <w:t xml:space="preserve">des équipes de soins de proximité </w:t>
      </w:r>
      <w:r>
        <w:rPr>
          <w:rFonts w:ascii="Times New Roman" w:hAnsi="Times New Roman"/>
          <w:sz w:val="24"/>
          <w:szCs w:val="24"/>
        </w:rPr>
        <w:t>dans le cadre de la campagne vaccinale contre le SARS-CoV-2</w:t>
      </w:r>
      <w:r w:rsidR="009854DE">
        <w:rPr>
          <w:rFonts w:ascii="Times New Roman" w:hAnsi="Times New Roman"/>
          <w:sz w:val="24"/>
          <w:szCs w:val="24"/>
        </w:rPr>
        <w:t xml:space="preserve">. A ce titre, est défini un forfait </w:t>
      </w:r>
      <w:r w:rsidR="006A58F7">
        <w:rPr>
          <w:rFonts w:ascii="Times New Roman" w:hAnsi="Times New Roman"/>
          <w:sz w:val="24"/>
          <w:szCs w:val="24"/>
        </w:rPr>
        <w:t>global pour les équipe</w:t>
      </w:r>
      <w:r w:rsidR="00922763">
        <w:rPr>
          <w:rFonts w:ascii="Times New Roman" w:hAnsi="Times New Roman"/>
          <w:sz w:val="24"/>
          <w:szCs w:val="24"/>
        </w:rPr>
        <w:t>s</w:t>
      </w:r>
      <w:r w:rsidR="006A58F7">
        <w:rPr>
          <w:rFonts w:ascii="Times New Roman" w:hAnsi="Times New Roman"/>
          <w:sz w:val="24"/>
          <w:szCs w:val="24"/>
        </w:rPr>
        <w:t xml:space="preserve"> de professionnels de santé effectuant les consultations et les injections au titre de la vaccination contre la </w:t>
      </w:r>
      <w:proofErr w:type="spellStart"/>
      <w:r w:rsidR="006A58F7">
        <w:rPr>
          <w:rFonts w:ascii="Times New Roman" w:hAnsi="Times New Roman"/>
          <w:sz w:val="24"/>
          <w:szCs w:val="24"/>
        </w:rPr>
        <w:t>covid</w:t>
      </w:r>
      <w:proofErr w:type="spellEnd"/>
      <w:r w:rsidR="006A58F7">
        <w:rPr>
          <w:rFonts w:ascii="Times New Roman" w:hAnsi="Times New Roman"/>
          <w:sz w:val="24"/>
          <w:szCs w:val="24"/>
        </w:rPr>
        <w:t xml:space="preserve"> 19 au se</w:t>
      </w:r>
      <w:r w:rsidR="00BA7218">
        <w:rPr>
          <w:rFonts w:ascii="Times New Roman" w:hAnsi="Times New Roman"/>
          <w:sz w:val="24"/>
          <w:szCs w:val="24"/>
        </w:rPr>
        <w:t>in d’une maison de santé pluriprofessionnelle</w:t>
      </w:r>
      <w:r w:rsidR="006A58F7">
        <w:rPr>
          <w:rFonts w:ascii="Times New Roman" w:hAnsi="Times New Roman"/>
          <w:sz w:val="24"/>
          <w:szCs w:val="24"/>
        </w:rPr>
        <w:t xml:space="preserve"> ou d’un centre de santé. Ce forfait est valorisé 19</w:t>
      </w:r>
      <w:r w:rsidR="004F593A">
        <w:rPr>
          <w:rFonts w:ascii="Times New Roman" w:hAnsi="Times New Roman"/>
          <w:sz w:val="24"/>
          <w:szCs w:val="24"/>
        </w:rPr>
        <w:t>,</w:t>
      </w:r>
      <w:r w:rsidR="00BA7218">
        <w:rPr>
          <w:rFonts w:ascii="Times New Roman" w:hAnsi="Times New Roman"/>
          <w:sz w:val="24"/>
          <w:szCs w:val="24"/>
        </w:rPr>
        <w:t>50</w:t>
      </w:r>
      <w:r w:rsidR="006A58F7">
        <w:rPr>
          <w:rFonts w:ascii="Times New Roman" w:hAnsi="Times New Roman"/>
          <w:sz w:val="24"/>
          <w:szCs w:val="24"/>
        </w:rPr>
        <w:t xml:space="preserve">€ </w:t>
      </w:r>
      <w:r w:rsidR="004F593A">
        <w:rPr>
          <w:rFonts w:ascii="Times New Roman" w:hAnsi="Times New Roman"/>
          <w:sz w:val="24"/>
          <w:szCs w:val="24"/>
        </w:rPr>
        <w:t>par</w:t>
      </w:r>
      <w:r w:rsidR="00BA7218">
        <w:rPr>
          <w:rFonts w:ascii="Times New Roman" w:hAnsi="Times New Roman"/>
          <w:sz w:val="24"/>
          <w:szCs w:val="24"/>
        </w:rPr>
        <w:t xml:space="preserve"> injection </w:t>
      </w:r>
      <w:r w:rsidR="006A58F7">
        <w:rPr>
          <w:rFonts w:ascii="Times New Roman" w:hAnsi="Times New Roman"/>
          <w:sz w:val="24"/>
          <w:szCs w:val="24"/>
        </w:rPr>
        <w:t>réalisée</w:t>
      </w:r>
      <w:r w:rsidR="004F593A">
        <w:rPr>
          <w:rFonts w:ascii="Times New Roman" w:hAnsi="Times New Roman"/>
          <w:sz w:val="24"/>
          <w:szCs w:val="24"/>
        </w:rPr>
        <w:t xml:space="preserve"> et financé par tranche</w:t>
      </w:r>
      <w:r w:rsidR="006A58F7">
        <w:rPr>
          <w:rFonts w:ascii="Times New Roman" w:hAnsi="Times New Roman"/>
          <w:sz w:val="24"/>
          <w:szCs w:val="24"/>
        </w:rPr>
        <w:t xml:space="preserve">, </w:t>
      </w:r>
      <w:r w:rsidR="009854DE">
        <w:rPr>
          <w:rFonts w:ascii="Times New Roman" w:hAnsi="Times New Roman"/>
          <w:sz w:val="24"/>
          <w:szCs w:val="24"/>
        </w:rPr>
        <w:t xml:space="preserve">auquel s’ajoute en sus la </w:t>
      </w:r>
      <w:r w:rsidR="009854DE" w:rsidRPr="009854DE">
        <w:rPr>
          <w:rFonts w:ascii="Times New Roman" w:hAnsi="Times New Roman"/>
          <w:sz w:val="24"/>
          <w:szCs w:val="24"/>
        </w:rPr>
        <w:t xml:space="preserve">rémunération de la saisie dans « Vaccin </w:t>
      </w:r>
      <w:proofErr w:type="spellStart"/>
      <w:r w:rsidR="009854DE" w:rsidRPr="009854DE">
        <w:rPr>
          <w:rFonts w:ascii="Times New Roman" w:hAnsi="Times New Roman"/>
          <w:sz w:val="24"/>
          <w:szCs w:val="24"/>
        </w:rPr>
        <w:t>Covid</w:t>
      </w:r>
      <w:proofErr w:type="spellEnd"/>
      <w:r w:rsidR="009854DE" w:rsidRPr="009854DE">
        <w:rPr>
          <w:rFonts w:ascii="Times New Roman" w:hAnsi="Times New Roman"/>
          <w:sz w:val="24"/>
          <w:szCs w:val="24"/>
        </w:rPr>
        <w:t xml:space="preserve"> »</w:t>
      </w:r>
      <w:r w:rsidR="004C4C8B">
        <w:rPr>
          <w:rFonts w:ascii="Times New Roman" w:hAnsi="Times New Roman"/>
          <w:sz w:val="24"/>
          <w:szCs w:val="24"/>
        </w:rPr>
        <w:t xml:space="preserve"> versée directement au professionnel de santé qui effectue la saisie</w:t>
      </w:r>
      <w:r w:rsidR="009854DE">
        <w:rPr>
          <w:rFonts w:ascii="Times New Roman" w:hAnsi="Times New Roman"/>
          <w:sz w:val="24"/>
          <w:szCs w:val="24"/>
        </w:rPr>
        <w:t xml:space="preserve">. </w:t>
      </w:r>
      <w:r w:rsidR="004F593A">
        <w:rPr>
          <w:rFonts w:ascii="Times New Roman" w:hAnsi="Times New Roman"/>
          <w:sz w:val="24"/>
          <w:szCs w:val="24"/>
        </w:rPr>
        <w:t>A</w:t>
      </w:r>
      <w:r w:rsidR="009854DE">
        <w:rPr>
          <w:rFonts w:ascii="Times New Roman" w:hAnsi="Times New Roman"/>
          <w:sz w:val="24"/>
          <w:szCs w:val="24"/>
        </w:rPr>
        <w:t xml:space="preserve"> terme</w:t>
      </w:r>
      <w:r w:rsidR="004F593A">
        <w:rPr>
          <w:rFonts w:ascii="Times New Roman" w:hAnsi="Times New Roman"/>
          <w:sz w:val="24"/>
          <w:szCs w:val="24"/>
        </w:rPr>
        <w:t>, il est envisagé d’</w:t>
      </w:r>
      <w:r w:rsidR="009854DE">
        <w:rPr>
          <w:rFonts w:ascii="Times New Roman" w:hAnsi="Times New Roman"/>
          <w:sz w:val="24"/>
          <w:szCs w:val="24"/>
        </w:rPr>
        <w:t xml:space="preserve">intégrer cette rémunération au sein du forfait équipe. </w:t>
      </w:r>
    </w:p>
    <w:p w14:paraId="027D60D5" w14:textId="77777777"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14:paraId="1EF885FA" w14:textId="77777777" w:rsidR="00EE7711" w:rsidRP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</w:p>
    <w:p w14:paraId="3F387CF2" w14:textId="77777777" w:rsidR="00EE7711" w:rsidRDefault="00EE7711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Il est conclu entre, d’une part, la caisse primaire d’assurance maladie / la caisse générale de sécurité́ sociale de : </w:t>
      </w:r>
    </w:p>
    <w:p w14:paraId="751E3870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 xml:space="preserve">Département : </w:t>
      </w:r>
    </w:p>
    <w:p w14:paraId="23680970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</w:p>
    <w:p w14:paraId="693EE520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 xml:space="preserve">Adresse : </w:t>
      </w:r>
    </w:p>
    <w:p w14:paraId="2CE8FBDB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</w:p>
    <w:p w14:paraId="0112C45F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représentée</w:t>
      </w:r>
      <w:proofErr w:type="gramEnd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 xml:space="preserve"> par : (nom, </w:t>
      </w:r>
      <w:proofErr w:type="spellStart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prénom</w:t>
      </w:r>
      <w:proofErr w:type="spellEnd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/fonction/</w:t>
      </w:r>
      <w:proofErr w:type="spellStart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coordonnées</w:t>
      </w:r>
      <w:proofErr w:type="spellEnd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)</w:t>
      </w:r>
    </w:p>
    <w:p w14:paraId="480432C0" w14:textId="77777777"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14:paraId="641BB91B" w14:textId="77777777" w:rsidR="00EE7711" w:rsidRDefault="0088292B" w:rsidP="00EE771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ci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-après dénommée « la caisse »</w:t>
      </w:r>
    </w:p>
    <w:p w14:paraId="16991F72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81BB4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Et, d’autre part, [le centre de </w:t>
      </w:r>
      <w:proofErr w:type="gramStart"/>
      <w:r>
        <w:rPr>
          <w:rFonts w:ascii="Times New Roman" w:hAnsi="Times New Roman"/>
          <w:sz w:val="24"/>
          <w:szCs w:val="24"/>
        </w:rPr>
        <w:t>santé]/</w:t>
      </w:r>
      <w:proofErr w:type="gramEnd"/>
      <w:r>
        <w:rPr>
          <w:rFonts w:ascii="Times New Roman" w:hAnsi="Times New Roman"/>
          <w:sz w:val="24"/>
          <w:szCs w:val="24"/>
        </w:rPr>
        <w:t>[la maison de santé pluriprofessionnelle] :</w:t>
      </w:r>
    </w:p>
    <w:p w14:paraId="4E2B8036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27DD1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Nom, Prénom du représentant légal du centre :</w:t>
      </w:r>
    </w:p>
    <w:p w14:paraId="0D01B1D7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042C6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numéro</w:t>
      </w:r>
      <w:proofErr w:type="gramEnd"/>
      <w:r>
        <w:rPr>
          <w:rFonts w:ascii="Times New Roman" w:hAnsi="Times New Roman"/>
          <w:sz w:val="24"/>
          <w:szCs w:val="24"/>
        </w:rPr>
        <w:t xml:space="preserve"> d’identification du centre de santé (FINESS</w:t>
      </w:r>
      <w:r w:rsidR="00B81FF3">
        <w:rPr>
          <w:rFonts w:ascii="Times New Roman" w:hAnsi="Times New Roman"/>
          <w:sz w:val="24"/>
          <w:szCs w:val="24"/>
        </w:rPr>
        <w:t xml:space="preserve"> géographique</w:t>
      </w:r>
      <w:r>
        <w:rPr>
          <w:rFonts w:ascii="Times New Roman" w:hAnsi="Times New Roman"/>
          <w:sz w:val="24"/>
          <w:szCs w:val="24"/>
        </w:rPr>
        <w:t>) :</w:t>
      </w:r>
    </w:p>
    <w:p w14:paraId="2BDE6C37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A3BFF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du lieu d’implantation principale (entité juridique) :</w:t>
      </w:r>
    </w:p>
    <w:p w14:paraId="4B0C5A16" w14:textId="77777777" w:rsidR="006F606B" w:rsidRDefault="006F606B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14:paraId="33E8DD87" w14:textId="77777777" w:rsidR="00EE7711" w:rsidRDefault="006F606B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ci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-après dénommée « la structure », </w:t>
      </w:r>
    </w:p>
    <w:p w14:paraId="07874E3A" w14:textId="77777777" w:rsidR="00EE7711" w:rsidRDefault="00EE7711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une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convention de financement à l’équipe de la vaccination dans le cadre de la campagne vaccinale </w:t>
      </w:r>
      <w:r w:rsidRPr="00EE771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contre le SARS-CoV-2</w:t>
      </w:r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.</w:t>
      </w:r>
    </w:p>
    <w:p w14:paraId="6CD0B3CD" w14:textId="77777777" w:rsidR="00EE7711" w:rsidRDefault="00EE7711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14:paraId="1D8EAA2C" w14:textId="77777777" w:rsidR="00EE7711" w:rsidRDefault="00EE7711" w:rsidP="00EE7711">
      <w:pPr>
        <w:spacing w:after="280" w:line="240" w:lineRule="auto"/>
        <w:jc w:val="both"/>
        <w:rPr>
          <w:rFonts w:ascii="Times New Roman" w:eastAsia="Times" w:hAnsi="Times New Roman"/>
          <w:b/>
          <w:color w:val="00000A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fr-FR"/>
        </w:rPr>
        <w:t>Article 1. Champ de la convention</w:t>
      </w:r>
    </w:p>
    <w:p w14:paraId="052326A4" w14:textId="77777777" w:rsidR="00EE7711" w:rsidRPr="006F606B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  <w:t>Article 1.1.</w:t>
      </w:r>
      <w:r>
        <w:rPr>
          <w:rFonts w:ascii="Times New Roman" w:eastAsia="Times" w:hAnsi="Times New Roman"/>
          <w:color w:val="2B2828"/>
          <w:sz w:val="24"/>
          <w:szCs w:val="24"/>
          <w:lang w:eastAsia="fr-FR"/>
        </w:rPr>
        <w:t xml:space="preserve"> </w:t>
      </w:r>
      <w:r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  <w:t xml:space="preserve">Objet </w:t>
      </w:r>
    </w:p>
    <w:p w14:paraId="308E0E16" w14:textId="77777777" w:rsidR="00EE7711" w:rsidRDefault="00EE7711" w:rsidP="009E6BAB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54BF37C9" w14:textId="77777777" w:rsidR="0046331C" w:rsidRDefault="006F606B" w:rsidP="009E6BAB">
      <w:pPr>
        <w:tabs>
          <w:tab w:val="left" w:pos="5643"/>
        </w:tabs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La présente convention a pour objet de définir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,</w:t>
      </w: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</w:t>
      </w:r>
      <w:r w:rsidR="0088292B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dans le cadre de la campagne vaccinale contre le SARS-CoV-2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, </w:t>
      </w: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les modalités de remboursement par la caisse à la structure de la prise en </w:t>
      </w: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lastRenderedPageBreak/>
        <w:t xml:space="preserve">charge de la vaccination 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au 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« 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forfait équipe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 »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, tel que définie par l’arrêté du </w:t>
      </w:r>
      <w:r w:rsidR="004D4840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23 </w:t>
      </w:r>
      <w:r w:rsidR="00CF6EDC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m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ars 2021 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modifiant l’arrêté du 10 juillet 2020 prescrivant les mesures générales nécessaires pour faire face à l’épidémie de covid-19 dans les territoires sortis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de l’état d’urgence sanitaire 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et dans ceux où il a été prorogé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.</w:t>
      </w:r>
    </w:p>
    <w:p w14:paraId="46CBF309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2B2828"/>
          <w:sz w:val="24"/>
          <w:szCs w:val="24"/>
          <w:lang w:eastAsia="fr-FR"/>
        </w:rPr>
      </w:pPr>
    </w:p>
    <w:p w14:paraId="19377205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</w:pPr>
      <w:r w:rsidRPr="004D4840">
        <w:rPr>
          <w:rFonts w:ascii="Times New Roman" w:eastAsia="Times" w:hAnsi="Times New Roman"/>
          <w:b/>
          <w:sz w:val="24"/>
          <w:szCs w:val="24"/>
          <w:lang w:eastAsia="fr-FR"/>
        </w:rPr>
        <w:t>Article 1.2.</w:t>
      </w:r>
      <w:r w:rsidRPr="004D4840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="0039348C" w:rsidRPr="004D4840">
        <w:rPr>
          <w:rFonts w:ascii="Times New Roman" w:eastAsia="Times" w:hAnsi="Times New Roman"/>
          <w:b/>
          <w:sz w:val="24"/>
          <w:szCs w:val="24"/>
          <w:lang w:eastAsia="fr-FR"/>
        </w:rPr>
        <w:t xml:space="preserve">Bénéficiaires de la convention </w:t>
      </w:r>
    </w:p>
    <w:p w14:paraId="7F1DE3CF" w14:textId="77777777" w:rsidR="0039348C" w:rsidRDefault="0039348C" w:rsidP="00EE7711">
      <w:pPr>
        <w:spacing w:after="0" w:line="240" w:lineRule="auto"/>
        <w:jc w:val="both"/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</w:pPr>
    </w:p>
    <w:p w14:paraId="38B96CAB" w14:textId="77777777" w:rsidR="004F282E" w:rsidRDefault="0039348C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convention est proposée aux</w:t>
      </w:r>
      <w:r w:rsidR="004F282E">
        <w:rPr>
          <w:rFonts w:ascii="Times New Roman" w:eastAsia="Times" w:hAnsi="Times New Roman"/>
          <w:sz w:val="24"/>
          <w:szCs w:val="24"/>
          <w:lang w:eastAsia="fr-FR"/>
        </w:rPr>
        <w:t xml:space="preserve"> : </w:t>
      </w:r>
    </w:p>
    <w:p w14:paraId="3C8AA853" w14:textId="77777777" w:rsidR="004F282E" w:rsidRDefault="0039348C" w:rsidP="004F282E">
      <w:pPr>
        <w:pStyle w:val="Paragraphedeliste"/>
        <w:numPr>
          <w:ilvl w:val="0"/>
          <w:numId w:val="4"/>
        </w:numPr>
        <w:jc w:val="both"/>
        <w:rPr>
          <w:rFonts w:eastAsia="Times"/>
        </w:rPr>
      </w:pPr>
      <w:r w:rsidRPr="004F282E">
        <w:rPr>
          <w:rFonts w:eastAsia="Times"/>
        </w:rPr>
        <w:t>centres de santé adhérant à l’</w:t>
      </w:r>
      <w:r w:rsidR="004F282E" w:rsidRPr="004F282E">
        <w:rPr>
          <w:rFonts w:eastAsia="Times"/>
        </w:rPr>
        <w:t>A</w:t>
      </w:r>
      <w:r w:rsidRPr="004F282E">
        <w:rPr>
          <w:rFonts w:eastAsia="Times"/>
        </w:rPr>
        <w:t>ccord nationa</w:t>
      </w:r>
      <w:r w:rsidR="00B81FF3" w:rsidRPr="004F282E">
        <w:rPr>
          <w:rFonts w:eastAsia="Times"/>
        </w:rPr>
        <w:t xml:space="preserve">l </w:t>
      </w:r>
      <w:r w:rsidR="004F282E" w:rsidRPr="004F282E">
        <w:rPr>
          <w:rFonts w:eastAsia="Times"/>
        </w:rPr>
        <w:t>destiné à organiser les rapports entre les Centres de santé et les caisses d</w:t>
      </w:r>
      <w:r w:rsidR="004F282E">
        <w:rPr>
          <w:rFonts w:eastAsia="Times"/>
        </w:rPr>
        <w:t>’Assurance Maladie</w:t>
      </w:r>
    </w:p>
    <w:p w14:paraId="2E684794" w14:textId="77777777" w:rsidR="0039348C" w:rsidRPr="004F282E" w:rsidRDefault="00B81FF3" w:rsidP="004F282E">
      <w:pPr>
        <w:pStyle w:val="Paragraphedeliste"/>
        <w:numPr>
          <w:ilvl w:val="0"/>
          <w:numId w:val="4"/>
        </w:numPr>
        <w:jc w:val="both"/>
        <w:rPr>
          <w:rFonts w:eastAsia="Times"/>
        </w:rPr>
      </w:pPr>
      <w:r w:rsidRPr="004F282E">
        <w:rPr>
          <w:rFonts w:eastAsia="Times"/>
        </w:rPr>
        <w:t xml:space="preserve">et aux maisons de santé </w:t>
      </w:r>
      <w:proofErr w:type="spellStart"/>
      <w:r w:rsidRPr="004F282E">
        <w:rPr>
          <w:rFonts w:eastAsia="Times"/>
        </w:rPr>
        <w:t>pluri</w:t>
      </w:r>
      <w:r w:rsidR="0039348C" w:rsidRPr="004F282E">
        <w:rPr>
          <w:rFonts w:eastAsia="Times"/>
        </w:rPr>
        <w:t>professionnelles</w:t>
      </w:r>
      <w:proofErr w:type="spellEnd"/>
      <w:r w:rsidR="0039348C" w:rsidRPr="004F282E">
        <w:rPr>
          <w:rFonts w:eastAsia="Times"/>
        </w:rPr>
        <w:t xml:space="preserve"> signataires de l’A</w:t>
      </w:r>
      <w:r w:rsidR="004F282E" w:rsidRPr="004F282E">
        <w:rPr>
          <w:rFonts w:eastAsia="Times"/>
        </w:rPr>
        <w:t>ccord</w:t>
      </w:r>
      <w:r w:rsidR="004F282E" w:rsidRPr="004F282E">
        <w:t xml:space="preserve"> </w:t>
      </w:r>
      <w:r w:rsidR="004F282E" w:rsidRPr="004F282E">
        <w:rPr>
          <w:rFonts w:eastAsia="Times"/>
        </w:rPr>
        <w:t>conventionnel interprofessionnel relatif aux structures de santé pluri-professionnelles</w:t>
      </w:r>
      <w:r w:rsidR="0039348C" w:rsidRPr="004F282E">
        <w:rPr>
          <w:rFonts w:eastAsia="Times"/>
        </w:rPr>
        <w:t xml:space="preserve">. </w:t>
      </w:r>
    </w:p>
    <w:p w14:paraId="718EC0EB" w14:textId="77777777" w:rsidR="0039348C" w:rsidRDefault="0039348C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0C8BF481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702FB986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2. Engagements des parties </w:t>
      </w:r>
    </w:p>
    <w:p w14:paraId="71ED4083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</w:p>
    <w:p w14:paraId="35D0E517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2.1 Engagement </w:t>
      </w:r>
      <w:r w:rsidR="00032F51">
        <w:rPr>
          <w:rFonts w:ascii="Times New Roman" w:eastAsia="Times" w:hAnsi="Times New Roman"/>
          <w:b/>
          <w:sz w:val="24"/>
          <w:szCs w:val="24"/>
          <w:lang w:eastAsia="fr-FR"/>
        </w:rPr>
        <w:t>de la structure</w:t>
      </w:r>
    </w:p>
    <w:p w14:paraId="29F174CE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</w:p>
    <w:p w14:paraId="2F1AC752" w14:textId="77777777" w:rsidR="00032F51" w:rsidRDefault="00032F51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structure</w:t>
      </w:r>
      <w:r w:rsidR="0039348C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="00EE7711">
        <w:rPr>
          <w:rFonts w:ascii="Times New Roman" w:eastAsia="Times" w:hAnsi="Times New Roman"/>
          <w:sz w:val="24"/>
          <w:szCs w:val="24"/>
          <w:lang w:eastAsia="fr-FR"/>
        </w:rPr>
        <w:t>s’engage</w:t>
      </w:r>
      <w:r w:rsidR="00B25952"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à s’assurer d</w:t>
      </w:r>
      <w:r w:rsidR="00B25952">
        <w:rPr>
          <w:rFonts w:ascii="Times New Roman" w:eastAsia="Times" w:hAnsi="Times New Roman"/>
          <w:sz w:val="24"/>
          <w:szCs w:val="24"/>
          <w:lang w:eastAsia="fr-FR"/>
        </w:rPr>
        <w:t>e la réalisation des injections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par l</w:t>
      </w:r>
      <w:r>
        <w:rPr>
          <w:rFonts w:ascii="Times New Roman" w:eastAsia="Times" w:hAnsi="Times New Roman"/>
          <w:sz w:val="24"/>
          <w:szCs w:val="24"/>
          <w:lang w:eastAsia="fr-FR"/>
        </w:rPr>
        <w:t>es professionnels de santé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y exerçant et habilité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>s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à procéder à la vaccination conformément aux dispositions réglementaires. </w:t>
      </w:r>
    </w:p>
    <w:p w14:paraId="315D6F61" w14:textId="77777777" w:rsidR="00032F51" w:rsidRPr="00B25952" w:rsidRDefault="00032F51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</w:p>
    <w:p w14:paraId="6886A6DD" w14:textId="77777777" w:rsidR="00B25952" w:rsidRP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structure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transmet à la caisse</w:t>
      </w:r>
      <w:r w:rsidR="004C4C8B">
        <w:rPr>
          <w:rFonts w:ascii="Times New Roman" w:eastAsia="Times" w:hAnsi="Times New Roman"/>
          <w:sz w:val="24"/>
          <w:szCs w:val="24"/>
          <w:lang w:eastAsia="fr-FR"/>
        </w:rPr>
        <w:t>,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="004C4C8B" w:rsidRPr="00CF6EDC">
        <w:rPr>
          <w:rFonts w:ascii="Times New Roman" w:eastAsia="Times" w:hAnsi="Times New Roman"/>
          <w:sz w:val="24"/>
          <w:szCs w:val="24"/>
          <w:lang w:eastAsia="fr-FR"/>
        </w:rPr>
        <w:t>avant le 10 du mois</w:t>
      </w:r>
      <w:r w:rsidR="004C4C8B">
        <w:rPr>
          <w:rFonts w:ascii="Times New Roman" w:eastAsia="Times" w:hAnsi="Times New Roman"/>
          <w:sz w:val="24"/>
          <w:szCs w:val="24"/>
          <w:lang w:eastAsia="fr-FR"/>
        </w:rPr>
        <w:t xml:space="preserve"> suivant le mois d’activité au titre duquel le versement du forfait est demandé,</w:t>
      </w:r>
      <w:r w:rsidR="004C4C8B"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>les informations nécessaires au remboursement conformément au tableau joint en annexe.</w:t>
      </w:r>
    </w:p>
    <w:p w14:paraId="10BC6932" w14:textId="77777777" w:rsidR="00B25952" w:rsidRP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271C4EC6" w14:textId="77777777" w:rsidR="00EE7711" w:rsidRDefault="00B25952" w:rsidP="00805F2A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 w:rsidRPr="00B25952">
        <w:rPr>
          <w:rFonts w:ascii="Times New Roman" w:eastAsia="Times" w:hAnsi="Times New Roman"/>
          <w:sz w:val="24"/>
          <w:szCs w:val="24"/>
          <w:lang w:eastAsia="fr-FR"/>
        </w:rPr>
        <w:t>Par ailleurs, l</w:t>
      </w:r>
      <w:r w:rsidR="00EF31B0">
        <w:rPr>
          <w:rFonts w:ascii="Times New Roman" w:eastAsia="Times" w:hAnsi="Times New Roman"/>
          <w:sz w:val="24"/>
          <w:szCs w:val="24"/>
          <w:lang w:eastAsia="fr-FR"/>
        </w:rPr>
        <w:t>a structure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demandant le remboursement </w:t>
      </w:r>
      <w:r w:rsidR="00EF31B0">
        <w:rPr>
          <w:rFonts w:ascii="Times New Roman" w:eastAsia="Times" w:hAnsi="Times New Roman"/>
          <w:sz w:val="24"/>
          <w:szCs w:val="24"/>
          <w:lang w:eastAsia="fr-FR"/>
        </w:rPr>
        <w:t xml:space="preserve">du forfait équipe s’engage à ne pas facturer </w:t>
      </w:r>
      <w:r w:rsidR="00805F2A" w:rsidRPr="00C46F46">
        <w:rPr>
          <w:rFonts w:ascii="Times New Roman" w:hAnsi="Times New Roman"/>
          <w:sz w:val="24"/>
          <w:szCs w:val="24"/>
        </w:rPr>
        <w:t>l</w:t>
      </w:r>
      <w:r w:rsidR="004C4C8B">
        <w:rPr>
          <w:rFonts w:ascii="Times New Roman" w:hAnsi="Times New Roman"/>
          <w:sz w:val="24"/>
          <w:szCs w:val="24"/>
        </w:rPr>
        <w:t xml:space="preserve">es </w:t>
      </w:r>
      <w:r w:rsidR="00805F2A" w:rsidRPr="00C46F46">
        <w:rPr>
          <w:rFonts w:ascii="Times New Roman" w:hAnsi="Times New Roman"/>
          <w:sz w:val="24"/>
          <w:szCs w:val="24"/>
        </w:rPr>
        <w:t>acte</w:t>
      </w:r>
      <w:r w:rsidR="004C4C8B">
        <w:rPr>
          <w:rFonts w:ascii="Times New Roman" w:hAnsi="Times New Roman"/>
          <w:sz w:val="24"/>
          <w:szCs w:val="24"/>
        </w:rPr>
        <w:t>s</w:t>
      </w:r>
      <w:r w:rsidR="00805F2A" w:rsidRPr="00C46F46">
        <w:rPr>
          <w:rFonts w:ascii="Times New Roman" w:hAnsi="Times New Roman"/>
          <w:sz w:val="24"/>
          <w:szCs w:val="24"/>
        </w:rPr>
        <w:t xml:space="preserve"> </w:t>
      </w:r>
      <w:r w:rsidR="0088292B">
        <w:rPr>
          <w:rFonts w:ascii="Times New Roman" w:hAnsi="Times New Roman"/>
          <w:sz w:val="24"/>
          <w:szCs w:val="24"/>
        </w:rPr>
        <w:t xml:space="preserve">(consultation ou injection) </w:t>
      </w:r>
      <w:r w:rsidR="00805F2A" w:rsidRPr="00C46F46">
        <w:rPr>
          <w:rFonts w:ascii="Times New Roman" w:hAnsi="Times New Roman"/>
          <w:sz w:val="24"/>
          <w:szCs w:val="24"/>
        </w:rPr>
        <w:t xml:space="preserve">ou les forfaits mentionnés </w:t>
      </w:r>
      <w:r w:rsidR="00805F2A">
        <w:rPr>
          <w:rFonts w:ascii="Times New Roman" w:hAnsi="Times New Roman"/>
          <w:sz w:val="24"/>
          <w:szCs w:val="24"/>
        </w:rPr>
        <w:t xml:space="preserve">au </w:t>
      </w:r>
      <w:r w:rsidR="00805F2A" w:rsidRPr="00C46F46">
        <w:rPr>
          <w:rFonts w:ascii="Times New Roman" w:hAnsi="Times New Roman"/>
          <w:sz w:val="24"/>
          <w:szCs w:val="24"/>
        </w:rPr>
        <w:t>III et IV</w:t>
      </w:r>
      <w:r w:rsidR="00805F2A">
        <w:rPr>
          <w:rFonts w:ascii="Times New Roman" w:hAnsi="Times New Roman"/>
          <w:sz w:val="24"/>
          <w:szCs w:val="24"/>
        </w:rPr>
        <w:t xml:space="preserve"> de l</w:t>
      </w:r>
      <w:r w:rsidR="00805F2A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805F2A" w:rsidRPr="00A75B1C">
        <w:rPr>
          <w:rFonts w:ascii="Times New Roman" w:eastAsia="Times New Roman" w:hAnsi="Times New Roman"/>
          <w:sz w:val="24"/>
          <w:szCs w:val="24"/>
          <w:lang w:eastAsia="fr-FR"/>
        </w:rPr>
        <w:t>article 18</w:t>
      </w:r>
      <w:r w:rsidR="00805F2A">
        <w:rPr>
          <w:rFonts w:ascii="Times New Roman" w:eastAsia="Times New Roman" w:hAnsi="Times New Roman"/>
          <w:sz w:val="24"/>
          <w:szCs w:val="24"/>
          <w:lang w:eastAsia="fr-FR"/>
        </w:rPr>
        <w:t>-1 de l’</w:t>
      </w:r>
      <w:r w:rsidR="00805F2A" w:rsidRPr="00622A89">
        <w:rPr>
          <w:rFonts w:ascii="Times New Roman" w:eastAsia="Times New Roman" w:hAnsi="Times New Roman"/>
          <w:sz w:val="24"/>
          <w:szCs w:val="24"/>
          <w:lang w:eastAsia="fr-FR"/>
        </w:rPr>
        <w:t>arrêté du 10 juillet 2020</w:t>
      </w:r>
      <w:r w:rsidR="00805F2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C4C8B">
        <w:rPr>
          <w:rFonts w:ascii="Times New Roman" w:eastAsia="Times New Roman" w:hAnsi="Times New Roman"/>
          <w:sz w:val="24"/>
          <w:szCs w:val="24"/>
          <w:lang w:eastAsia="fr-FR"/>
        </w:rPr>
        <w:t>susmentionné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>.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Il en va de même pour les professionnels de santé y exerçant et vaccinant dans le cadre de la présente convention. </w:t>
      </w:r>
    </w:p>
    <w:p w14:paraId="0406D0D5" w14:textId="77777777" w:rsidR="00CF6EDC" w:rsidRDefault="004C4C8B" w:rsidP="00CF6EDC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En outre, c</w:t>
      </w:r>
      <w:r w:rsidR="00CF6EDC">
        <w:rPr>
          <w:rFonts w:ascii="Times New Roman" w:eastAsia="Times" w:hAnsi="Times New Roman"/>
          <w:sz w:val="24"/>
          <w:szCs w:val="24"/>
          <w:lang w:eastAsia="fr-FR"/>
        </w:rPr>
        <w:t>e forfait équipe ne peut faire l’objet d’un cumul avec</w:t>
      </w:r>
      <w:r w:rsidR="00CF6EDC">
        <w:t xml:space="preserve"> </w:t>
      </w:r>
      <w:r w:rsidR="00CF6EDC" w:rsidRPr="00CF6EDC">
        <w:rPr>
          <w:rFonts w:ascii="Times New Roman" w:eastAsia="Times" w:hAnsi="Times New Roman"/>
          <w:sz w:val="24"/>
          <w:szCs w:val="24"/>
          <w:lang w:eastAsia="fr-FR"/>
        </w:rPr>
        <w:t>tout autre financement de structure accordé dans le cadre de la campagne de vaccination contre la covid-19.</w:t>
      </w:r>
    </w:p>
    <w:p w14:paraId="1486391F" w14:textId="77777777" w:rsidR="00B81FF3" w:rsidRDefault="00B81FF3" w:rsidP="00805F2A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7C4A2782" w14:textId="77777777" w:rsidR="00B81FF3" w:rsidRPr="00805F2A" w:rsidRDefault="00B81FF3" w:rsidP="00805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structure s’engage enfin à conserver et transmettre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 xml:space="preserve"> à la caisse à sa demande</w:t>
      </w:r>
      <w:r>
        <w:rPr>
          <w:rFonts w:ascii="Times New Roman" w:eastAsia="Times" w:hAnsi="Times New Roman"/>
          <w:sz w:val="24"/>
          <w:szCs w:val="24"/>
          <w:lang w:eastAsia="fr-FR"/>
        </w:rPr>
        <w:t xml:space="preserve"> les pièces justificatives afférentes 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 xml:space="preserve">aux </w:t>
      </w:r>
      <w:r>
        <w:rPr>
          <w:rFonts w:ascii="Times New Roman" w:eastAsia="Times" w:hAnsi="Times New Roman"/>
          <w:sz w:val="24"/>
          <w:szCs w:val="24"/>
          <w:lang w:eastAsia="fr-FR"/>
        </w:rPr>
        <w:t>vaccination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>s réalisé</w:t>
      </w:r>
      <w:r w:rsidR="00922763">
        <w:rPr>
          <w:rFonts w:ascii="Times New Roman" w:eastAsia="Times" w:hAnsi="Times New Roman"/>
          <w:sz w:val="24"/>
          <w:szCs w:val="24"/>
          <w:lang w:eastAsia="fr-FR"/>
        </w:rPr>
        <w:t>e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>s pour lesquelles la rémunération au forfait équipe est demandée</w:t>
      </w:r>
      <w:r>
        <w:rPr>
          <w:rFonts w:ascii="Times New Roman" w:eastAsia="Times" w:hAnsi="Times New Roman"/>
          <w:sz w:val="24"/>
          <w:szCs w:val="24"/>
          <w:lang w:eastAsia="fr-FR"/>
        </w:rPr>
        <w:t xml:space="preserve">. </w:t>
      </w:r>
    </w:p>
    <w:p w14:paraId="43DAB0D8" w14:textId="77777777"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37BF29CF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2.2 Engagement de l’assurance maladie </w:t>
      </w:r>
    </w:p>
    <w:p w14:paraId="3BB3ADC9" w14:textId="77777777"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71ECBB6" w14:textId="77777777" w:rsidR="003B4203" w:rsidRDefault="00EE7711" w:rsidP="00EE7711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En contrepartie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l’assurance maladie s’engage à verser </w:t>
      </w:r>
      <w:r w:rsidR="001E4239">
        <w:rPr>
          <w:rFonts w:ascii="Times New Roman" w:eastAsia="Times New Roman" w:hAnsi="Times New Roman"/>
          <w:sz w:val="24"/>
          <w:szCs w:val="24"/>
          <w:lang w:eastAsia="fr-FR"/>
        </w:rPr>
        <w:t>le forfait équipe à la structure désignée,</w:t>
      </w:r>
      <w:r w:rsidR="003B4203">
        <w:rPr>
          <w:rFonts w:ascii="Times New Roman" w:eastAsia="Times New Roman" w:hAnsi="Times New Roman"/>
          <w:sz w:val="24"/>
          <w:szCs w:val="24"/>
          <w:lang w:eastAsia="fr-FR"/>
        </w:rPr>
        <w:t xml:space="preserve"> à réception du bordereau (annexe 1),</w:t>
      </w:r>
      <w:r w:rsidR="001E423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E4239" w:rsidRPr="00CF6EDC">
        <w:rPr>
          <w:rFonts w:ascii="Times New Roman" w:eastAsia="Times New Roman" w:hAnsi="Times New Roman"/>
          <w:sz w:val="24"/>
          <w:szCs w:val="24"/>
          <w:lang w:eastAsia="fr-FR"/>
        </w:rPr>
        <w:t>tous les mois</w:t>
      </w:r>
      <w:r w:rsidR="004F282E" w:rsidRPr="00CF6EDC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737A0132" w14:textId="77777777"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14:paraId="2A8CD393" w14:textId="77777777" w:rsidR="00EE7711" w:rsidRDefault="00EE7711" w:rsidP="00EE7711">
      <w:pPr>
        <w:spacing w:after="1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Article 3. Durée </w:t>
      </w:r>
      <w:r w:rsidR="001E4239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de la convention </w:t>
      </w:r>
    </w:p>
    <w:p w14:paraId="779D8458" w14:textId="77777777" w:rsidR="00EE7711" w:rsidRDefault="00B25952" w:rsidP="00EE7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B25952">
        <w:rPr>
          <w:rFonts w:ascii="Times New Roman" w:eastAsia="Times New Roman" w:hAnsi="Times New Roman"/>
          <w:sz w:val="24"/>
          <w:szCs w:val="24"/>
          <w:lang w:eastAsia="fr-FR"/>
        </w:rPr>
        <w:t>La présente convention s’appliq</w:t>
      </w:r>
      <w:r w:rsidR="001C6E27">
        <w:rPr>
          <w:rFonts w:ascii="Times New Roman" w:eastAsia="Times New Roman" w:hAnsi="Times New Roman"/>
          <w:sz w:val="24"/>
          <w:szCs w:val="24"/>
          <w:lang w:eastAsia="fr-FR"/>
        </w:rPr>
        <w:t xml:space="preserve">ue 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à compter de la date d’entrée en vigueur qu’elle prévoit et </w:t>
      </w:r>
      <w:r w:rsidR="001C6E27">
        <w:rPr>
          <w:rFonts w:ascii="Times New Roman" w:eastAsia="Times New Roman" w:hAnsi="Times New Roman"/>
          <w:sz w:val="24"/>
          <w:szCs w:val="24"/>
          <w:lang w:eastAsia="fr-FR"/>
        </w:rPr>
        <w:t xml:space="preserve">pendant toute la période 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où l’article </w:t>
      </w:r>
      <w:r w:rsidR="00CF6EDC" w:rsidRPr="00CF6EDC">
        <w:rPr>
          <w:rFonts w:ascii="Times New Roman" w:eastAsia="Times New Roman" w:hAnsi="Times New Roman"/>
          <w:sz w:val="24"/>
          <w:szCs w:val="24"/>
          <w:lang w:eastAsia="fr-FR"/>
        </w:rPr>
        <w:t>IV bis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de l’arrêté du </w:t>
      </w:r>
      <w:r w:rsidR="00CF6EDC">
        <w:rPr>
          <w:rFonts w:ascii="Times New Roman" w:eastAsia="Times New Roman" w:hAnsi="Times New Roman"/>
          <w:sz w:val="24"/>
          <w:szCs w:val="24"/>
          <w:lang w:eastAsia="fr-FR"/>
        </w:rPr>
        <w:t>10 juillet 2020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mentionné à l’article 1</w:t>
      </w:r>
      <w:r w:rsidR="00E94FB9" w:rsidRPr="006F28EE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er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est en vigueur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70EB0AEB" w14:textId="77777777" w:rsidR="00B25952" w:rsidRDefault="00B25952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</w:p>
    <w:p w14:paraId="040EC965" w14:textId="77777777" w:rsidR="00EE7711" w:rsidRDefault="00EE7711" w:rsidP="00EE7711">
      <w:pPr>
        <w:spacing w:before="120" w:after="28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4. Résiliation </w:t>
      </w:r>
      <w:r w:rsidR="001E4239">
        <w:rPr>
          <w:rFonts w:ascii="Times New Roman" w:eastAsia="Times" w:hAnsi="Times New Roman"/>
          <w:b/>
          <w:sz w:val="24"/>
          <w:szCs w:val="24"/>
          <w:lang w:eastAsia="fr-FR"/>
        </w:rPr>
        <w:t>de la convention</w:t>
      </w:r>
    </w:p>
    <w:p w14:paraId="4650CA15" w14:textId="77777777" w:rsidR="00B25952" w:rsidRDefault="00110F27" w:rsidP="00EE7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>La structure</w:t>
      </w:r>
      <w:r w:rsidR="00B25952">
        <w:rPr>
          <w:rFonts w:ascii="Times New Roman" w:eastAsia="Times New Roman" w:hAnsi="Times New Roman"/>
          <w:sz w:val="24"/>
          <w:szCs w:val="24"/>
          <w:lang w:eastAsia="fr-FR"/>
        </w:rPr>
        <w:t xml:space="preserve"> peut décider à tout moment de mettre fin à cette convention. Elle s’engage à informer sa caisse de rattachement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au moins </w:t>
      </w:r>
      <w:r w:rsidR="006F28EE" w:rsidRPr="00D1443F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E94FB9" w:rsidRPr="00D1443F">
        <w:rPr>
          <w:rFonts w:ascii="Times New Roman" w:eastAsia="Times New Roman" w:hAnsi="Times New Roman"/>
          <w:sz w:val="24"/>
          <w:szCs w:val="24"/>
          <w:lang w:eastAsia="fr-FR"/>
        </w:rPr>
        <w:t xml:space="preserve"> jours 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avant la date de résiliation, cette dernière intervenant le </w:t>
      </w:r>
      <w:r w:rsidR="006F606B">
        <w:rPr>
          <w:rFonts w:ascii="Times New Roman" w:eastAsia="Times New Roman" w:hAnsi="Times New Roman"/>
          <w:sz w:val="24"/>
          <w:szCs w:val="24"/>
          <w:lang w:eastAsia="fr-FR"/>
        </w:rPr>
        <w:t>dernier jour du mois en cours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à la date d’information de la caisse</w:t>
      </w:r>
      <w:r w:rsidR="006F606B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B25952">
        <w:rPr>
          <w:rFonts w:ascii="Times New Roman" w:eastAsia="Times New Roman" w:hAnsi="Times New Roman"/>
          <w:sz w:val="24"/>
          <w:szCs w:val="24"/>
          <w:lang w:eastAsia="fr-FR"/>
        </w:rPr>
        <w:t xml:space="preserve">  </w:t>
      </w:r>
    </w:p>
    <w:p w14:paraId="24656FC8" w14:textId="77777777"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627E1190" w14:textId="77777777" w:rsidR="00B25952" w:rsidRDefault="00B25952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1974AD36" w14:textId="77777777" w:rsidR="00B25952" w:rsidRDefault="00B25952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2C25B9AC" w14:textId="77777777" w:rsidR="00B25952" w:rsidRP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3E50D925" w14:textId="77777777"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Fait à                                                             , le __ /__ / 2021</w:t>
      </w:r>
    </w:p>
    <w:p w14:paraId="3EA73C3B" w14:textId="77777777"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30BE6A78" w14:textId="77777777"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14:paraId="14073891" w14:textId="77777777" w:rsidR="00EE7711" w:rsidRDefault="00D47B53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EE7711">
        <w:rPr>
          <w:rFonts w:ascii="Times New Roman" w:hAnsi="Times New Roman"/>
          <w:sz w:val="24"/>
          <w:szCs w:val="24"/>
        </w:rPr>
        <w:t xml:space="preserve">Le centre de </w:t>
      </w:r>
      <w:proofErr w:type="gramStart"/>
      <w:r w:rsidR="00EE7711">
        <w:rPr>
          <w:rFonts w:ascii="Times New Roman" w:hAnsi="Times New Roman"/>
          <w:sz w:val="24"/>
          <w:szCs w:val="24"/>
        </w:rPr>
        <w:t>santé</w:t>
      </w:r>
      <w:r>
        <w:rPr>
          <w:rFonts w:ascii="Times New Roman" w:hAnsi="Times New Roman"/>
          <w:sz w:val="24"/>
          <w:szCs w:val="24"/>
        </w:rPr>
        <w:t>]</w:t>
      </w:r>
      <w:r w:rsidR="001E4239"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 xml:space="preserve">[La maison de santé pluriprofessionnelle] </w:t>
      </w:r>
      <w:r w:rsidR="00EE7711">
        <w:rPr>
          <w:rFonts w:ascii="Times New Roman" w:hAnsi="Times New Roman"/>
          <w:sz w:val="24"/>
          <w:szCs w:val="24"/>
        </w:rPr>
        <w:t xml:space="preserve">  </w:t>
      </w:r>
    </w:p>
    <w:p w14:paraId="7411C447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 Prénom du représentant légal </w:t>
      </w:r>
    </w:p>
    <w:p w14:paraId="68A3BB12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C954D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89D2A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22734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6D2A6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caisse d’assurance maladie</w:t>
      </w:r>
    </w:p>
    <w:p w14:paraId="7A6C258F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Prénom</w:t>
      </w:r>
    </w:p>
    <w:p w14:paraId="21E9D770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A9A2A" w14:textId="77777777"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8F2C3" w14:textId="77777777" w:rsidR="00B25952" w:rsidRDefault="00B25952">
      <w:r>
        <w:br w:type="page"/>
      </w:r>
    </w:p>
    <w:p w14:paraId="2385CA7B" w14:textId="77777777" w:rsidR="00D208ED" w:rsidRDefault="00B25952" w:rsidP="00B25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952">
        <w:rPr>
          <w:rFonts w:ascii="Times New Roman" w:hAnsi="Times New Roman"/>
          <w:b/>
          <w:sz w:val="24"/>
          <w:szCs w:val="24"/>
        </w:rPr>
        <w:lastRenderedPageBreak/>
        <w:t>ANNEXE 1</w:t>
      </w:r>
    </w:p>
    <w:p w14:paraId="5EB58788" w14:textId="77777777" w:rsidR="00B25952" w:rsidRPr="00B25952" w:rsidRDefault="00B25952" w:rsidP="00B25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1D5BBF" w14:textId="77777777" w:rsidR="00B25952" w:rsidRPr="00B25952" w:rsidRDefault="00B25952" w:rsidP="00B25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Bordereau</w:t>
      </w:r>
      <w:r w:rsidRPr="00B25952">
        <w:rPr>
          <w:rFonts w:ascii="Times New Roman" w:hAnsi="Times New Roman"/>
          <w:b/>
          <w:sz w:val="24"/>
          <w:szCs w:val="24"/>
        </w:rPr>
        <w:t xml:space="preserve"> mensuel de </w:t>
      </w:r>
      <w:r>
        <w:rPr>
          <w:rFonts w:ascii="Times New Roman" w:hAnsi="Times New Roman"/>
          <w:b/>
          <w:sz w:val="24"/>
          <w:szCs w:val="24"/>
        </w:rPr>
        <w:t>demande de remboursement</w:t>
      </w:r>
      <w:r w:rsidRPr="00B25952">
        <w:rPr>
          <w:rFonts w:ascii="Times New Roman" w:hAnsi="Times New Roman"/>
          <w:b/>
          <w:sz w:val="24"/>
          <w:szCs w:val="24"/>
        </w:rPr>
        <w:t xml:space="preserve"> à adresser par l</w:t>
      </w:r>
      <w:r>
        <w:rPr>
          <w:rFonts w:ascii="Times New Roman" w:hAnsi="Times New Roman"/>
          <w:b/>
          <w:sz w:val="24"/>
          <w:szCs w:val="24"/>
        </w:rPr>
        <w:t>a structure à sa caisse de rattachement</w:t>
      </w:r>
    </w:p>
    <w:sectPr w:rsidR="00B25952" w:rsidRPr="00B2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11F7D" w14:textId="77777777" w:rsidR="00830461" w:rsidRDefault="00830461" w:rsidP="006F606B">
      <w:pPr>
        <w:spacing w:after="0" w:line="240" w:lineRule="auto"/>
      </w:pPr>
      <w:r>
        <w:separator/>
      </w:r>
    </w:p>
  </w:endnote>
  <w:endnote w:type="continuationSeparator" w:id="0">
    <w:p w14:paraId="0519EF5B" w14:textId="77777777" w:rsidR="00830461" w:rsidRDefault="00830461" w:rsidP="006F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48B0" w14:textId="77777777" w:rsidR="00830461" w:rsidRDefault="00830461" w:rsidP="006F606B">
      <w:pPr>
        <w:spacing w:after="0" w:line="240" w:lineRule="auto"/>
      </w:pPr>
      <w:r>
        <w:separator/>
      </w:r>
    </w:p>
  </w:footnote>
  <w:footnote w:type="continuationSeparator" w:id="0">
    <w:p w14:paraId="34874DFD" w14:textId="77777777" w:rsidR="00830461" w:rsidRDefault="00830461" w:rsidP="006F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E74E8"/>
    <w:multiLevelType w:val="hybridMultilevel"/>
    <w:tmpl w:val="75A841DA"/>
    <w:lvl w:ilvl="0" w:tplc="0CA8EC3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85FDF"/>
    <w:multiLevelType w:val="hybridMultilevel"/>
    <w:tmpl w:val="0BE4A47C"/>
    <w:lvl w:ilvl="0" w:tplc="897A7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C106E"/>
    <w:multiLevelType w:val="hybridMultilevel"/>
    <w:tmpl w:val="ED3E1E00"/>
    <w:lvl w:ilvl="0" w:tplc="0CA8EC3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A8EC3A">
      <w:start w:val="2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C1613"/>
    <w:multiLevelType w:val="hybridMultilevel"/>
    <w:tmpl w:val="F5AEDDE0"/>
    <w:lvl w:ilvl="0" w:tplc="BA34177A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11"/>
    <w:rsid w:val="00032F51"/>
    <w:rsid w:val="0003381C"/>
    <w:rsid w:val="00110F27"/>
    <w:rsid w:val="00190109"/>
    <w:rsid w:val="001C6E27"/>
    <w:rsid w:val="001E4239"/>
    <w:rsid w:val="00247A33"/>
    <w:rsid w:val="0039348C"/>
    <w:rsid w:val="003B4203"/>
    <w:rsid w:val="003C1D0C"/>
    <w:rsid w:val="0046331C"/>
    <w:rsid w:val="004A77D8"/>
    <w:rsid w:val="004C4C8B"/>
    <w:rsid w:val="004D4840"/>
    <w:rsid w:val="004F091C"/>
    <w:rsid w:val="004F282E"/>
    <w:rsid w:val="004F593A"/>
    <w:rsid w:val="005B03F2"/>
    <w:rsid w:val="006A58F7"/>
    <w:rsid w:val="006F28EE"/>
    <w:rsid w:val="006F606B"/>
    <w:rsid w:val="00802D88"/>
    <w:rsid w:val="00805F2A"/>
    <w:rsid w:val="00830461"/>
    <w:rsid w:val="0088292B"/>
    <w:rsid w:val="008B628E"/>
    <w:rsid w:val="00922763"/>
    <w:rsid w:val="009854DE"/>
    <w:rsid w:val="009E6BAB"/>
    <w:rsid w:val="00A53DE7"/>
    <w:rsid w:val="00B25952"/>
    <w:rsid w:val="00B81FF3"/>
    <w:rsid w:val="00BA7218"/>
    <w:rsid w:val="00CF6EDC"/>
    <w:rsid w:val="00D1443F"/>
    <w:rsid w:val="00D208ED"/>
    <w:rsid w:val="00D47B53"/>
    <w:rsid w:val="00E94FB9"/>
    <w:rsid w:val="00EE2F0B"/>
    <w:rsid w:val="00EE7711"/>
    <w:rsid w:val="00EF31B0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CD61"/>
  <w15:docId w15:val="{C90299FB-F986-E64A-ABCD-044944A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1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25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9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95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52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952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60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60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F606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B42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CF6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GRONDIN AURELIE (CNAM / Paris)</dc:creator>
  <cp:lastModifiedBy>Anne Guilberteau</cp:lastModifiedBy>
  <cp:revision>2</cp:revision>
  <dcterms:created xsi:type="dcterms:W3CDTF">2021-03-26T09:04:00Z</dcterms:created>
  <dcterms:modified xsi:type="dcterms:W3CDTF">2021-03-26T09:04:00Z</dcterms:modified>
</cp:coreProperties>
</file>